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Федеральное государственное бюджетное образовательное учреждение высшего образования «Московский институт культуры»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Федеральное государственное бюджетное учреждение культуры «Российская государственная детская библиотека»</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Автономная некоммерческая организация высшего образования «Университет мировых цивилизаций имени В.В. Жириновского»</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Школа-студия им. В.Ф. Шаталова  </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Уважаемые коллеги!</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Приглашаем вас принять участие в международной научно-практической конференции «Психолого-педагогические чтения – 2025», посвященной памяти Н.К. Крупской, которая состоится 26-27 февраля 2025 г.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Конференция будет проходить в смешанном формате (очном, очно-заочном) на площадках Федерального государственного бюджетного образовательного учреждения высшего образования «Московский государственный институт культуры», Федерального государственного бюджетного учреждения культуры «Российская государственная детская библиотека», Автономной некоммерческой организации высшего образования «Университет мировых цивилизаций имени В.В. Жириновского», Школы-студии В.Ф. Шаталова (Москва). </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тема конференции в 2025 году – «Педагогическая коммуникация».</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конференция продолжает традицию педагогических чтений, начало которым было положено Педагогическим обществом России и Любовью Кузьминичной Балясной, выдающимся советским и российским деятелем образования, лидером Пионерской организации.  </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Научная проблематика конференции носит междисциплинарный характер и будет интересна специалистам в области педагогики, психологии, библиотечного дела и просвещения, социально-культурной деятельности, истории образования и др. </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цель конференции – популяризация психолого-педагогического наследия выдающихся деятелей российского образования и культуры в реалиях современного общества и обсуждение вопросов образования, воспитания и развития в современных социокультурных условиях. Конференция ставит перед собой задачи развития межвузовского научного сотрудничества, укрепления и расширения связей вузов, реализующих психолого-педагогическую подготовку кадров образования и библиотечного обслуживания, в том числе и международного; закрепления научных достижений в области гуманитарных направлений; активизации процессов поиска решений специалистами в области педагогики, психологии, библиотечном деле и социально-культурной деятельности, социологии, истории и др., способными объединиться в междисциплинарные проекты. </w:t>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работы конференции предполагается издание сборника научных трудов.</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Основные направления работы конференции: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Направления (секции): </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«Приобщение детей к чтению в библиотеке: традиции и инновации»</w:t>
      </w:r>
    </w:p>
    <w:p w:rsidR="00000000" w:rsidDel="00000000" w:rsidP="00000000" w:rsidRDefault="00000000" w:rsidRPr="00000000" w14:paraId="00000014">
      <w:pPr>
        <w:spacing w:after="0" w:line="240" w:lineRule="auto"/>
        <w:ind w:left="106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Тематика обсуждения: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«Межведомственные и междисциплинарные проекты по популяризации чтения»,</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вовлечения родителей в образовательную и просветительскую деятельность библиотеки»,</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«Детская библиотека как площадка для культурного обмена и диалога»,</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«Партнерство с образовательными учреждениями для развития совместных проектов по детскому и семейному чтению».</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«Педагогика сотрудничества и современность»</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Тематика обсуждения: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«Школа Шаталова: вчера, сегодня, завтра»,</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«Педагогика сотрудничества и массовая школа: проблемы и перспективы»,</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«Педагогика сотрудничества в современном социально-культурном пространстве».</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«Образование и мир: тренды и тенденции»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Тематика обсуждения: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«Персонализация и академическая мобильность»,</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«Международное образование сегодня»,</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«Национальные педагогические школы в современном мире»,</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«Искусственный интеллект и образование».</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этой памяти верны»: педагогическое наследие»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Тематика обсуждения: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«Памятные даты 2025 года»,</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«Педагогическое наследие и современность»,</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«Всеобуч и культурное строительство: социально-культурный срез 2025».</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конференции будут организованы экскурсии: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традиционное возложение цветов «Памяти Н.К. Крупской»,</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8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экскурсия «Российская государственная детская библиотека».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8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Порядок участия в работе Конференции </w:t>
      </w:r>
    </w:p>
    <w:p w:rsidR="00000000" w:rsidDel="00000000" w:rsidP="00000000" w:rsidRDefault="00000000" w:rsidRPr="00000000" w14:paraId="000000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Участие в работе Конференции бесплатное. </w:t>
      </w:r>
    </w:p>
    <w:p w:rsidR="00000000" w:rsidDel="00000000" w:rsidP="00000000" w:rsidRDefault="00000000" w:rsidRPr="00000000" w14:paraId="0000002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Заявка на участие в качестве докладчика заполняется и высылается в организационный комитет до 22 февраля 2025 года по адресу электронной почты Оргкомитета </w:t>
      </w:r>
      <w:hyperlink r:id="rId6">
        <w:r w:rsidDel="00000000" w:rsidR="00000000" w:rsidRPr="00000000">
          <w:rPr>
            <w:rFonts w:ascii="Times New Roman" w:cs="Times New Roman" w:eastAsia="Times New Roman" w:hAnsi="Times New Roman"/>
            <w:color w:val="0563c1"/>
            <w:sz w:val="28"/>
            <w:szCs w:val="28"/>
            <w:u w:val="single"/>
            <w:rtl w:val="0"/>
          </w:rPr>
          <w:t xml:space="preserve">depofpsychology@yandex.ru</w:t>
        </w:r>
      </w:hyperlink>
      <w:r w:rsidDel="00000000" w:rsidR="00000000" w:rsidRPr="00000000">
        <w:rPr>
          <w:rFonts w:ascii="Times New Roman" w:cs="Times New Roman" w:eastAsia="Times New Roman" w:hAnsi="Times New Roman"/>
          <w:sz w:val="28"/>
          <w:szCs w:val="28"/>
          <w:rtl w:val="0"/>
        </w:rPr>
        <w:t xml:space="preserve">. Форма заявки прилагается.</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Слушатели конференции самостоятельно регистрируются по ссылке:</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https://forms.yandex.ru/u/65b79ed62530c205bd55c0d9/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60830" cy="156083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60830" cy="156083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0" w:line="24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ОРГАНИЗАЦИОННАЯ ИНФОРМАЦИЯ:</w:t>
      </w:r>
    </w:p>
    <w:p w:rsidR="00000000" w:rsidDel="00000000" w:rsidP="00000000" w:rsidRDefault="00000000" w:rsidRPr="00000000" w14:paraId="000000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Конференция проводится на площадках ФГБОУ ВО «Московский государственный институт культуры», ФГБУК «Российская государственная детская библиотека», АНО ВО «Университет мировых цивилизаций имени В.В. Жириновского», Школа-Студия В.Я. Шаталова (Москва). </w:t>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Рабочий язык конференции: русский.  </w:t>
      </w:r>
    </w:p>
    <w:p w:rsidR="00000000" w:rsidDel="00000000" w:rsidP="00000000" w:rsidRDefault="00000000" w:rsidRPr="00000000" w14:paraId="0000003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конференции участникам предлагается: </w:t>
      </w:r>
    </w:p>
    <w:p w:rsidR="00000000" w:rsidDel="00000000" w:rsidP="00000000" w:rsidRDefault="00000000" w:rsidRPr="00000000" w14:paraId="0000003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Участие авторов в сборнике научных трудов (решение о публикации материалов принимает Программный комитет конференции).</w:t>
      </w:r>
    </w:p>
    <w:p w:rsidR="00000000" w:rsidDel="00000000" w:rsidP="00000000" w:rsidRDefault="00000000" w:rsidRPr="00000000" w14:paraId="000000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Участие с докладом в Пленарном заседании и на секциях. Доклад на секции (10 – 15 мин.). Сопровождение доклада презентацией приветствуется.</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0" w:line="240" w:lineRule="auto"/>
        <w:ind w:left="3969" w:firstLine="278.999999999999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w:t>
      </w:r>
    </w:p>
    <w:p w:rsidR="00000000" w:rsidDel="00000000" w:rsidP="00000000" w:rsidRDefault="00000000" w:rsidRPr="00000000" w14:paraId="0000003B">
      <w:pPr>
        <w:spacing w:after="0" w:line="240" w:lineRule="auto"/>
        <w:ind w:left="3969" w:firstLine="278.999999999999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информационному письму</w:t>
      </w:r>
    </w:p>
    <w:p w:rsidR="00000000" w:rsidDel="00000000" w:rsidP="00000000" w:rsidRDefault="00000000" w:rsidRPr="00000000" w14:paraId="0000003C">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«Психолого-педагогические чтения – 2025»</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Заявка на участие в Международной научно-практической конференции «Психолого-педагогические чтения – 2025», </w:t>
      </w:r>
    </w:p>
    <w:p w:rsidR="00000000" w:rsidDel="00000000" w:rsidP="00000000" w:rsidRDefault="00000000" w:rsidRPr="00000000" w14:paraId="0000003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посвященной памяти Н.К. Крупской </w:t>
      </w:r>
    </w:p>
    <w:p w:rsidR="00000000" w:rsidDel="00000000" w:rsidP="00000000" w:rsidRDefault="00000000" w:rsidRPr="00000000" w14:paraId="00000040">
      <w:pPr>
        <w:spacing w:after="0"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089"/>
        <w:tblGridChange w:id="0">
          <w:tblGrid>
            <w:gridCol w:w="3256"/>
            <w:gridCol w:w="6089"/>
          </w:tblGrid>
        </w:tblGridChange>
      </w:tblGrid>
      <w:tr>
        <w:trPr>
          <w:cantSplit w:val="0"/>
          <w:tblHeader w:val="0"/>
        </w:trPr>
        <w:tc>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имя, отчество  </w:t>
            </w:r>
          </w:p>
        </w:tc>
        <w:tc>
          <w:tcPr/>
          <w:p w:rsidR="00000000" w:rsidDel="00000000" w:rsidP="00000000" w:rsidRDefault="00000000" w:rsidRPr="00000000" w14:paraId="00000042">
            <w:pPr>
              <w:spacing w:after="0" w:line="240"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Ученая степень </w:t>
            </w:r>
          </w:p>
        </w:tc>
        <w:tc>
          <w:tcPr/>
          <w:p w:rsidR="00000000" w:rsidDel="00000000" w:rsidP="00000000" w:rsidRDefault="00000000" w:rsidRPr="00000000" w14:paraId="0000004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 наличии</w:t>
            </w:r>
          </w:p>
        </w:tc>
      </w:tr>
      <w:tr>
        <w:trPr>
          <w:cantSplit w:val="0"/>
          <w:tblHeader w:val="0"/>
        </w:trPr>
        <w:tc>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Ученое звание </w:t>
            </w:r>
          </w:p>
        </w:tc>
        <w:tc>
          <w:tcPr/>
          <w:p w:rsidR="00000000" w:rsidDel="00000000" w:rsidP="00000000" w:rsidRDefault="00000000" w:rsidRPr="00000000" w14:paraId="0000004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 наличии </w:t>
            </w:r>
          </w:p>
        </w:tc>
      </w:tr>
      <w:tr>
        <w:trPr>
          <w:cantSplit w:val="0"/>
          <w:tblHeader w:val="0"/>
        </w:trPr>
        <w:tc>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работы и должность </w:t>
            </w:r>
          </w:p>
        </w:tc>
        <w:tc>
          <w:tcPr/>
          <w:p w:rsidR="00000000" w:rsidDel="00000000" w:rsidP="00000000" w:rsidRDefault="00000000" w:rsidRPr="00000000" w14:paraId="00000048">
            <w:pPr>
              <w:spacing w:after="0" w:line="240"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Контактный номер телефона </w:t>
            </w:r>
          </w:p>
        </w:tc>
        <w:tc>
          <w:tcPr/>
          <w:p w:rsidR="00000000" w:rsidDel="00000000" w:rsidP="00000000" w:rsidRDefault="00000000" w:rsidRPr="00000000" w14:paraId="0000004A">
            <w:pPr>
              <w:spacing w:after="0" w:line="240"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c>
          <w:tcPr/>
          <w:p w:rsidR="00000000" w:rsidDel="00000000" w:rsidP="00000000" w:rsidRDefault="00000000" w:rsidRPr="00000000" w14:paraId="0000004C">
            <w:pPr>
              <w:spacing w:after="0" w:line="240"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доклада </w:t>
            </w:r>
          </w:p>
        </w:tc>
        <w:tc>
          <w:tcPr/>
          <w:p w:rsidR="00000000" w:rsidDel="00000000" w:rsidP="00000000" w:rsidRDefault="00000000" w:rsidRPr="00000000" w14:paraId="0000004E">
            <w:pPr>
              <w:spacing w:after="0" w:line="240"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участия в Конференции </w:t>
            </w:r>
          </w:p>
        </w:tc>
        <w:tc>
          <w:tcPr/>
          <w:p w:rsidR="00000000" w:rsidDel="00000000" w:rsidP="00000000" w:rsidRDefault="00000000" w:rsidRPr="00000000" w14:paraId="0000005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Очное выступление с докладом / онлайн-подключение с выступлением   </w:t>
            </w:r>
          </w:p>
        </w:tc>
      </w:tr>
    </w:tbl>
    <w:p w:rsidR="00000000" w:rsidDel="00000000" w:rsidP="00000000" w:rsidRDefault="00000000" w:rsidRPr="00000000" w14:paraId="0000005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240" w:lineRule="auto"/>
        <w:ind w:left="3969" w:firstLine="278.9999999999998"/>
        <w:jc w:val="both"/>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sz w:val="28"/>
          <w:szCs w:val="28"/>
          <w:rtl w:val="0"/>
        </w:rPr>
        <w:t xml:space="preserve">Приложение 2</w:t>
      </w:r>
    </w:p>
    <w:p w:rsidR="00000000" w:rsidDel="00000000" w:rsidP="00000000" w:rsidRDefault="00000000" w:rsidRPr="00000000" w14:paraId="00000054">
      <w:pPr>
        <w:spacing w:after="0" w:line="240" w:lineRule="auto"/>
        <w:ind w:left="3540" w:firstLine="708.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информационному письму</w:t>
      </w:r>
    </w:p>
    <w:p w:rsidR="00000000" w:rsidDel="00000000" w:rsidP="00000000" w:rsidRDefault="00000000" w:rsidRPr="00000000" w14:paraId="00000055">
      <w:pPr>
        <w:spacing w:after="0" w:line="240" w:lineRule="auto"/>
        <w:ind w:left="1416" w:firstLine="707.999999999999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«Психолого-педагогические чтения – 2025»</w:t>
      </w:r>
    </w:p>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 оформлению и содержанию докладов по итогу работы Международной научно-практической конференции </w:t>
      </w:r>
    </w:p>
    <w:p w:rsidR="00000000" w:rsidDel="00000000" w:rsidP="00000000" w:rsidRDefault="00000000" w:rsidRPr="00000000" w14:paraId="0000005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«Психолого-педагогические чтения – 2025»</w:t>
      </w:r>
    </w:p>
    <w:p w:rsidR="00000000" w:rsidDel="00000000" w:rsidP="00000000" w:rsidRDefault="00000000" w:rsidRPr="00000000" w14:paraId="0000005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Материалы к опубликованию предоставляются в электронном виде (форматы doc и docx).</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Материалы формируются в текстовом редакторе MS Word/</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Формат текста: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 бумаги А4, книжная ориентация,</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шрифт Times new Roman,</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 шрифта 12 пт.,</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межстрочный интервал – одинарный,</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выравнивание текста – по ширине страницы,</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 – обычные (верхнее – 2, нижнее – 2, левое – 3, правое – 1,5),</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нумерация страниц – не выставляется,</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переносы в тексте – не выставляется,</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допускается использование гиперссылок.</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Материалы должны включать информацию об авторе: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Ф.И.О. автора полностью,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ученая степень, ученое звание (при наличии),</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должность (с наименованием кафедр и / или департаментов),</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работы, город,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SPIN-код автора (при наличии),</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идентификатор ORCID автора (при наличии),</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Scopus Author ID (при наличии),</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 ГРНТИ.</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 представленного к публикации материала – до 1 п.л.</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материалам, направляемым бакалаврами, магистрантами и аспирантами должен прилагаться заверенный отзыв научного руководителя и рецензия, подписанная кандидатом или доктором наук (электронная скан-копия). Без отзыва научного руководителя и рецензии кандидата или доктора наук материалы к публикации не принимаются. </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Предоставленные к публикации материалы должны содержать следующие обязательные структурные элементы: </w:t>
      </w:r>
    </w:p>
    <w:p w:rsidR="00000000" w:rsidDel="00000000" w:rsidP="00000000" w:rsidRDefault="00000000" w:rsidRPr="00000000" w14:paraId="0000007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Аннотация объемом 150-200 слов, характеризующая в краткой форме актуальность исследования, используемую методологию или аналитический инструментарий, полученные результаты и выводы.</w:t>
      </w:r>
    </w:p>
    <w:p w:rsidR="00000000" w:rsidDel="00000000" w:rsidP="00000000" w:rsidRDefault="00000000" w:rsidRPr="00000000" w14:paraId="0000007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Ключевые слова – не более 5 слов / словосочетаний (перечисляются через запятую, точка в конце перечисления не ставиться).</w:t>
      </w:r>
    </w:p>
    <w:p w:rsidR="00000000" w:rsidDel="00000000" w:rsidP="00000000" w:rsidRDefault="00000000" w:rsidRPr="00000000" w14:paraId="0000007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текст материалов, содержащий следующие разделы и их характеристику: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актуальность, цель, задачи исследования, значение для определенной отрасли науки или практической сферы деятельности;</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методы исследования, процессы организации исследования и /или образовательной деятельности, используемые методы (методики) с обоснованием выбора; подробные сведения об объекте исследования;</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и дискуссию, при необходимости включающие иллюстрации (таблицы, графики, рисунки), которые представляют исходный материал для доказательства в свернутом виде; важно, чтобы проиллюстрированная информация не дублировала уже приведенную в тексте; результаты должны быть представлены последовательно и логично и содержать достаточно информации для оценки сделанных выводов;</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 содержащее краткую формулировку результатов и сопоставляющее полученные результаты с обозначенной в начале работы целью.</w:t>
      </w:r>
    </w:p>
    <w:p w:rsidR="00000000" w:rsidDel="00000000" w:rsidP="00000000" w:rsidRDefault="00000000" w:rsidRPr="00000000" w14:paraId="000000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литературы, используемой в работе: список литературы оформляется либо в порядке упоминания в тексте, либо в алфавитном порядке. При алфавитном расположении сначала перечисляются нормативно-правовые акты, затем – русскоязычные источники, далее – иностранные источники.</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авторах, название, аннотация, ключевые слова представляются на русском и английском языках.</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выделения текста (с целью расстановки логических акцентов) рекомендуется использовать полужирное начертание и / или курсив.</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Ссылки на источники затекстовые – квадратные скобки с указанием порядкового номера источника в списке литературы и, через запятую, номер страницы (пример – [5, с. 115]). На каждый источник должна быть ссылка.</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тексте также могут использоваться ссылки на электронные источники либо в качестве поясняющей информации (определение понятий, уточнение формулировок и т.д.): пункт меню «Вставка» – ссылка – сноска), размер шрифта 10 пт, тип шрифта – Times New Roman, выравнивание – по ширине, межстрочный интервал – одинарный.</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Рисунки (иллюстрации) приводятся в серых тонах. Желательно все громоздкие надписи на рисунке заменять цифровыми или буквенными обозначениями, а их объяснение выносить в текст или предрисуночные надписи. Формат рисунков tif, png, jpg, eps, el. Растровые иллюстрации (фотографии, сканированные рисунки, экранные копии) должны иметь разрешение не менее 300 dpi. Схемы с использование стандартных фигур MS Word должны быть обязательно группированы. Рисунки должны иметь номер и название, продублированные на английском языке. Диаграммы и графики должны иметь дублирующую легенду и подписи координатных осей на английском языке.</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Формулы, включающие специализированные символы, набираются только с использованием внешних редакторов Microsoft Equation либо Math Type. Использование встроенного редактора формул (конструктора Уравнений) Microsoft 2007 и более высоких версий не допускается. Отельные математические выражения в тексте, не требующие специальной символики (например, i=1), должны быть набраны строковым редактором (клавиатурный ввод) с использованием режима «Вставка символа». При этом выражение не может быть набрано частично во внешнем редакторе формул, а частично строковым редактором. Латинские букв в формулах набираются курсивом (наклонное начертание), цифры и греческие буквы – прямо.</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в таблицах набираются в формате – одно значение – одна строка. Названия строк – столбцов таблицы и ее заголовок должны быть краткими, но написанными без сокращений (исключение – единицы измерения). Таблицы должны иметь номер и название, продублированные на английском языке.</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Представленные к публикации материалы проходят обязательную проверку системы «Антиплагиат.ВУЗ». Процент заимствований (совпадений) (не включая самоцитирование) – не более 20 (двадцати). В противном случае материалы могут быть отклонены или отправлены автору на доработку.</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Программный комитет также может осуществлять рецензирование материалов, в том числе с привлечением внешних рецензентов. В рамках подготовки сборника материалов Конференции в случае несоответствия материалов установленным требованиям они могут быть возвращены авторам для доработки или отклонены. </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Образец оформления докладов</w:t>
      </w:r>
    </w:p>
    <w:p w:rsidR="00000000" w:rsidDel="00000000" w:rsidP="00000000" w:rsidRDefault="00000000" w:rsidRPr="00000000" w14:paraId="0000008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Иванов Иван Иванович</w:t>
      </w:r>
    </w:p>
    <w:p w:rsidR="00000000" w:rsidDel="00000000" w:rsidP="00000000" w:rsidRDefault="00000000" w:rsidRPr="00000000" w14:paraId="00000089">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педагогически наук, доцент, </w:t>
      </w:r>
    </w:p>
    <w:p w:rsidR="00000000" w:rsidDel="00000000" w:rsidP="00000000" w:rsidRDefault="00000000" w:rsidRPr="00000000" w14:paraId="0000008A">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 кафедры педагогики и психологии  ФГБОУ ВО «Московский институт культуры», Москва </w:t>
      </w:r>
    </w:p>
    <w:p w:rsidR="00000000" w:rsidDel="00000000" w:rsidP="00000000" w:rsidRDefault="00000000" w:rsidRPr="00000000" w14:paraId="0000008B">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hyperlink r:id="rId9">
        <w:r w:rsidDel="00000000" w:rsidR="00000000" w:rsidRPr="00000000">
          <w:rPr>
            <w:rFonts w:ascii="Times New Roman" w:cs="Times New Roman" w:eastAsia="Times New Roman" w:hAnsi="Times New Roman"/>
            <w:color w:val="0563c1"/>
            <w:sz w:val="28"/>
            <w:szCs w:val="28"/>
            <w:u w:val="single"/>
            <w:rtl w:val="0"/>
          </w:rPr>
          <w:t xml:space="preserve">ivanov@mail.ru</w:t>
        </w:r>
      </w:hyperlink>
      <w:r w:rsidDel="00000000" w:rsidR="00000000" w:rsidRPr="00000000">
        <w:rPr>
          <w:rtl w:val="0"/>
        </w:rPr>
      </w:r>
    </w:p>
    <w:p w:rsidR="00000000" w:rsidDel="00000000" w:rsidP="00000000" w:rsidRDefault="00000000" w:rsidRPr="00000000" w14:paraId="0000008C">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SPIN-код: 0000-0000</w:t>
      </w:r>
    </w:p>
    <w:p w:rsidR="00000000" w:rsidDel="00000000" w:rsidP="00000000" w:rsidRDefault="00000000" w:rsidRPr="00000000" w14:paraId="0000008D">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0000-0000-0000-0000</w:t>
      </w:r>
    </w:p>
    <w:p w:rsidR="00000000" w:rsidDel="00000000" w:rsidP="00000000" w:rsidRDefault="00000000" w:rsidRPr="00000000" w14:paraId="0000008E">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Scopus Author ID: 000000000</w:t>
      </w:r>
    </w:p>
    <w:p w:rsidR="00000000" w:rsidDel="00000000" w:rsidP="00000000" w:rsidRDefault="00000000" w:rsidRPr="00000000" w14:paraId="0000008F">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ГРНТИ: 00.00.00</w:t>
      </w:r>
    </w:p>
    <w:p w:rsidR="00000000" w:rsidDel="00000000" w:rsidP="00000000" w:rsidRDefault="00000000" w:rsidRPr="00000000" w14:paraId="0000009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Развивающее обучение в современной школе </w:t>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w:t>
      </w:r>
      <w:r w:rsidDel="00000000" w:rsidR="00000000" w:rsidRPr="00000000">
        <w:rPr>
          <w:rFonts w:ascii="Times New Roman" w:cs="Times New Roman" w:eastAsia="Times New Roman" w:hAnsi="Times New Roman"/>
          <w:sz w:val="28"/>
          <w:szCs w:val="28"/>
          <w:rtl w:val="0"/>
        </w:rPr>
        <w:t xml:space="preserve"> обучение, развитие, современная школа </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Ivanov Ivan </w:t>
      </w:r>
    </w:p>
    <w:p w:rsidR="00000000" w:rsidDel="00000000" w:rsidP="00000000" w:rsidRDefault="00000000" w:rsidRPr="00000000" w14:paraId="00000097">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Candidate of Pedagogic Sciences, Associate Professor , Associate Professor of the Department of Pedagogy and Psychology Moscow State Art and Cultural University </w:t>
      </w:r>
    </w:p>
    <w:p w:rsidR="00000000" w:rsidDel="00000000" w:rsidP="00000000" w:rsidRDefault="00000000" w:rsidRPr="00000000" w14:paraId="00000098">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ivanov@mail.ru</w:t>
      </w:r>
    </w:p>
    <w:p w:rsidR="00000000" w:rsidDel="00000000" w:rsidP="00000000" w:rsidRDefault="00000000" w:rsidRPr="00000000" w14:paraId="00000099">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SPIN code: 0000-0000</w:t>
      </w:r>
    </w:p>
    <w:p w:rsidR="00000000" w:rsidDel="00000000" w:rsidP="00000000" w:rsidRDefault="00000000" w:rsidRPr="00000000" w14:paraId="0000009A">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0000-0000-0000-0000</w:t>
      </w:r>
    </w:p>
    <w:p w:rsidR="00000000" w:rsidDel="00000000" w:rsidP="00000000" w:rsidRDefault="00000000" w:rsidRPr="00000000" w14:paraId="0000009B">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Scopus Author ID: 000000000</w:t>
      </w:r>
    </w:p>
    <w:p w:rsidR="00000000" w:rsidDel="00000000" w:rsidP="00000000" w:rsidRDefault="00000000" w:rsidRPr="00000000" w14:paraId="0000009C">
      <w:pPr>
        <w:spacing w:after="0" w:line="240" w:lineRule="auto"/>
        <w:ind w:left="3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GRNTI: 00.00.00</w:t>
      </w:r>
    </w:p>
    <w:p w:rsidR="00000000" w:rsidDel="00000000" w:rsidP="00000000" w:rsidRDefault="00000000" w:rsidRPr="00000000" w14:paraId="0000009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Developmental education in a modern school</w:t>
      </w:r>
    </w:p>
    <w:p w:rsidR="00000000" w:rsidDel="00000000" w:rsidP="00000000" w:rsidRDefault="00000000" w:rsidRPr="00000000" w14:paraId="0000009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 words:</w:t>
      </w:r>
      <w:r w:rsidDel="00000000" w:rsidR="00000000" w:rsidRPr="00000000">
        <w:rPr>
          <w:rFonts w:ascii="Times New Roman" w:cs="Times New Roman" w:eastAsia="Times New Roman" w:hAnsi="Times New Roman"/>
          <w:sz w:val="28"/>
          <w:szCs w:val="28"/>
          <w:rtl w:val="0"/>
        </w:rPr>
        <w:t xml:space="preserve"> learning, development, modern school</w:t>
      </w:r>
    </w:p>
    <w:p w:rsidR="00000000" w:rsidDel="00000000" w:rsidP="00000000" w:rsidRDefault="00000000" w:rsidRPr="00000000" w14:paraId="000000A1">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доклада]</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Литература:</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«Об образовании в Российской Федерации»: текст с изменениями и дополнениями на 1 февраля 2023 года. – М.: Эксмо, 2023. – 224 с. </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Ушинский, К.Д. Избранные педагогические сочинения: вопросы воспитания / К. Д. Ушинский. – Москва: Гос. учеб.-педагогич. изд-во Министерства просвещения РСФСР, 1953. – Т. 1. – 640 с.</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155" w:hanging="360"/>
      </w:pPr>
      <w:rPr>
        <w:rFonts w:ascii="Noto Sans Symbols" w:cs="Noto Sans Symbols" w:eastAsia="Noto Sans Symbols" w:hAnsi="Noto Sans Symbols"/>
      </w:rPr>
    </w:lvl>
    <w:lvl w:ilvl="1">
      <w:start w:val="1"/>
      <w:numFmt w:val="bullet"/>
      <w:lvlText w:val="o"/>
      <w:lvlJc w:val="left"/>
      <w:pPr>
        <w:ind w:left="1875" w:hanging="360"/>
      </w:pPr>
      <w:rPr>
        <w:rFonts w:ascii="Courier New" w:cs="Courier New" w:eastAsia="Courier New" w:hAnsi="Courier New"/>
      </w:rPr>
    </w:lvl>
    <w:lvl w:ilvl="2">
      <w:start w:val="1"/>
      <w:numFmt w:val="bullet"/>
      <w:lvlText w:val="▪"/>
      <w:lvlJc w:val="left"/>
      <w:pPr>
        <w:ind w:left="2595" w:hanging="360"/>
      </w:pPr>
      <w:rPr>
        <w:rFonts w:ascii="Noto Sans Symbols" w:cs="Noto Sans Symbols" w:eastAsia="Noto Sans Symbols" w:hAnsi="Noto Sans Symbols"/>
      </w:rPr>
    </w:lvl>
    <w:lvl w:ilvl="3">
      <w:start w:val="1"/>
      <w:numFmt w:val="bullet"/>
      <w:lvlText w:val="●"/>
      <w:lvlJc w:val="left"/>
      <w:pPr>
        <w:ind w:left="3315" w:hanging="360"/>
      </w:pPr>
      <w:rPr>
        <w:rFonts w:ascii="Noto Sans Symbols" w:cs="Noto Sans Symbols" w:eastAsia="Noto Sans Symbols" w:hAnsi="Noto Sans Symbols"/>
      </w:rPr>
    </w:lvl>
    <w:lvl w:ilvl="4">
      <w:start w:val="1"/>
      <w:numFmt w:val="bullet"/>
      <w:lvlText w:val="o"/>
      <w:lvlJc w:val="left"/>
      <w:pPr>
        <w:ind w:left="4035" w:hanging="360"/>
      </w:pPr>
      <w:rPr>
        <w:rFonts w:ascii="Courier New" w:cs="Courier New" w:eastAsia="Courier New" w:hAnsi="Courier New"/>
      </w:rPr>
    </w:lvl>
    <w:lvl w:ilvl="5">
      <w:start w:val="1"/>
      <w:numFmt w:val="bullet"/>
      <w:lvlText w:val="▪"/>
      <w:lvlJc w:val="left"/>
      <w:pPr>
        <w:ind w:left="4755" w:hanging="360"/>
      </w:pPr>
      <w:rPr>
        <w:rFonts w:ascii="Noto Sans Symbols" w:cs="Noto Sans Symbols" w:eastAsia="Noto Sans Symbols" w:hAnsi="Noto Sans Symbols"/>
      </w:rPr>
    </w:lvl>
    <w:lvl w:ilvl="6">
      <w:start w:val="1"/>
      <w:numFmt w:val="bullet"/>
      <w:lvlText w:val="●"/>
      <w:lvlJc w:val="left"/>
      <w:pPr>
        <w:ind w:left="5475" w:hanging="360"/>
      </w:pPr>
      <w:rPr>
        <w:rFonts w:ascii="Noto Sans Symbols" w:cs="Noto Sans Symbols" w:eastAsia="Noto Sans Symbols" w:hAnsi="Noto Sans Symbols"/>
      </w:rPr>
    </w:lvl>
    <w:lvl w:ilvl="7">
      <w:start w:val="1"/>
      <w:numFmt w:val="bullet"/>
      <w:lvlText w:val="o"/>
      <w:lvlJc w:val="left"/>
      <w:pPr>
        <w:ind w:left="6195" w:hanging="360"/>
      </w:pPr>
      <w:rPr>
        <w:rFonts w:ascii="Courier New" w:cs="Courier New" w:eastAsia="Courier New" w:hAnsi="Courier New"/>
      </w:rPr>
    </w:lvl>
    <w:lvl w:ilvl="8">
      <w:start w:val="1"/>
      <w:numFmt w:val="bullet"/>
      <w:lvlText w:val="▪"/>
      <w:lvlJc w:val="left"/>
      <w:pPr>
        <w:ind w:left="6915"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789" w:hanging="360"/>
      </w:pPr>
      <w:rPr>
        <w:rFonts w:ascii="Noto Sans Symbols" w:cs="Noto Sans Symbols" w:eastAsia="Noto Sans Symbols" w:hAnsi="Noto Sans Symbols"/>
      </w:rPr>
    </w:lvl>
    <w:lvl w:ilvl="1">
      <w:start w:val="1"/>
      <w:numFmt w:val="bullet"/>
      <w:lvlText w:val="o"/>
      <w:lvlJc w:val="left"/>
      <w:pPr>
        <w:ind w:left="2509" w:hanging="360"/>
      </w:pPr>
      <w:rPr>
        <w:rFonts w:ascii="Courier New" w:cs="Courier New" w:eastAsia="Courier New" w:hAnsi="Courier New"/>
      </w:rPr>
    </w:lvl>
    <w:lvl w:ilvl="2">
      <w:start w:val="1"/>
      <w:numFmt w:val="bullet"/>
      <w:lvlText w:val="▪"/>
      <w:lvlJc w:val="left"/>
      <w:pPr>
        <w:ind w:left="3229" w:hanging="360"/>
      </w:pPr>
      <w:rPr>
        <w:rFonts w:ascii="Noto Sans Symbols" w:cs="Noto Sans Symbols" w:eastAsia="Noto Sans Symbols" w:hAnsi="Noto Sans Symbols"/>
      </w:rPr>
    </w:lvl>
    <w:lvl w:ilvl="3">
      <w:start w:val="1"/>
      <w:numFmt w:val="bullet"/>
      <w:lvlText w:val="●"/>
      <w:lvlJc w:val="left"/>
      <w:pPr>
        <w:ind w:left="3949" w:hanging="360"/>
      </w:pPr>
      <w:rPr>
        <w:rFonts w:ascii="Noto Sans Symbols" w:cs="Noto Sans Symbols" w:eastAsia="Noto Sans Symbols" w:hAnsi="Noto Sans Symbols"/>
      </w:rPr>
    </w:lvl>
    <w:lvl w:ilvl="4">
      <w:start w:val="1"/>
      <w:numFmt w:val="bullet"/>
      <w:lvlText w:val="o"/>
      <w:lvlJc w:val="left"/>
      <w:pPr>
        <w:ind w:left="4669" w:hanging="360"/>
      </w:pPr>
      <w:rPr>
        <w:rFonts w:ascii="Courier New" w:cs="Courier New" w:eastAsia="Courier New" w:hAnsi="Courier New"/>
      </w:rPr>
    </w:lvl>
    <w:lvl w:ilvl="5">
      <w:start w:val="1"/>
      <w:numFmt w:val="bullet"/>
      <w:lvlText w:val="▪"/>
      <w:lvlJc w:val="left"/>
      <w:pPr>
        <w:ind w:left="5389" w:hanging="360"/>
      </w:pPr>
      <w:rPr>
        <w:rFonts w:ascii="Noto Sans Symbols" w:cs="Noto Sans Symbols" w:eastAsia="Noto Sans Symbols" w:hAnsi="Noto Sans Symbols"/>
      </w:rPr>
    </w:lvl>
    <w:lvl w:ilvl="6">
      <w:start w:val="1"/>
      <w:numFmt w:val="bullet"/>
      <w:lvlText w:val="●"/>
      <w:lvlJc w:val="left"/>
      <w:pPr>
        <w:ind w:left="6109" w:hanging="360"/>
      </w:pPr>
      <w:rPr>
        <w:rFonts w:ascii="Noto Sans Symbols" w:cs="Noto Sans Symbols" w:eastAsia="Noto Sans Symbols" w:hAnsi="Noto Sans Symbols"/>
      </w:rPr>
    </w:lvl>
    <w:lvl w:ilvl="7">
      <w:start w:val="1"/>
      <w:numFmt w:val="bullet"/>
      <w:lvlText w:val="o"/>
      <w:lvlJc w:val="left"/>
      <w:pPr>
        <w:ind w:left="6829" w:hanging="360"/>
      </w:pPr>
      <w:rPr>
        <w:rFonts w:ascii="Courier New" w:cs="Courier New" w:eastAsia="Courier New" w:hAnsi="Courier New"/>
      </w:rPr>
    </w:lvl>
    <w:lvl w:ilvl="8">
      <w:start w:val="1"/>
      <w:numFmt w:val="bullet"/>
      <w:lvlText w:val="▪"/>
      <w:lvlJc w:val="left"/>
      <w:pPr>
        <w:ind w:left="7549" w:hanging="360"/>
      </w:pPr>
      <w:rPr>
        <w:rFonts w:ascii="Noto Sans Symbols" w:cs="Noto Sans Symbols" w:eastAsia="Noto Sans Symbols" w:hAnsi="Noto Sans Symbols"/>
      </w:rPr>
    </w:lvl>
  </w:abstractNum>
  <w:abstractNum w:abstractNumId="6">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7">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vanov@mail.ru" TargetMode="External"/><Relationship Id="rId5" Type="http://schemas.openxmlformats.org/officeDocument/2006/relationships/styles" Target="styles.xml"/><Relationship Id="rId6" Type="http://schemas.openxmlformats.org/officeDocument/2006/relationships/hyperlink" Target="mailto:depofpsychology@yandex.ru" TargetMode="External"/><Relationship Id="rId7" Type="http://schemas.openxmlformats.org/officeDocument/2006/relationships/hyperlink" Target="https://forms.yandex.ru/u/65b79ed62530c205bd55c0d9/"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